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b w:val="1"/>
          <w:bCs w:val="1"/>
          <w:sz w:val="32"/>
          <w:szCs w:val="32"/>
        </w:rPr>
      </w:pPr>
      <w:bookmarkStart w:name="_headingh.3znysh7" w:id="0"/>
      <w:bookmarkEnd w:id="0"/>
      <w:r>
        <w:rPr>
          <w:b w:val="1"/>
          <w:bCs w:val="1"/>
          <w:sz w:val="32"/>
          <w:szCs w:val="32"/>
          <w:rtl w:val="0"/>
          <w:lang w:val="de-DE"/>
        </w:rPr>
        <w:t>V</w:t>
      </w:r>
      <w:r>
        <w:rPr>
          <w:b w:val="1"/>
          <w:bCs w:val="1"/>
          <w:sz w:val="32"/>
          <w:szCs w:val="32"/>
          <w:rtl w:val="0"/>
          <w:lang w:val="de-DE"/>
        </w:rPr>
        <w:t>iessmann Deutschland baut die drittgr</w:t>
      </w:r>
      <w:r>
        <w:rPr>
          <w:b w:val="1"/>
          <w:bCs w:val="1"/>
          <w:sz w:val="32"/>
          <w:szCs w:val="32"/>
          <w:rtl w:val="0"/>
          <w:lang w:val="de-DE"/>
        </w:rPr>
        <w:t>öß</w:t>
      </w:r>
      <w:r>
        <w:rPr>
          <w:b w:val="1"/>
          <w:bCs w:val="1"/>
          <w:sz w:val="32"/>
          <w:szCs w:val="32"/>
          <w:rtl w:val="0"/>
          <w:lang w:val="de-DE"/>
        </w:rPr>
        <w:t>te Solarthermieanlage Deutschlands f</w:t>
      </w:r>
      <w:r>
        <w:rPr>
          <w:b w:val="1"/>
          <w:bCs w:val="1"/>
          <w:sz w:val="32"/>
          <w:szCs w:val="32"/>
          <w:rtl w:val="0"/>
          <w:lang w:val="de-DE"/>
        </w:rPr>
        <w:t>ü</w:t>
      </w:r>
      <w:r>
        <w:rPr>
          <w:b w:val="1"/>
          <w:bCs w:val="1"/>
          <w:sz w:val="32"/>
          <w:szCs w:val="32"/>
          <w:rtl w:val="0"/>
          <w:lang w:val="de-DE"/>
        </w:rPr>
        <w:t>r die Stadtwerke Lemgo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b w:val="1"/>
          <w:bCs w:val="1"/>
          <w:sz w:val="22"/>
          <w:szCs w:val="22"/>
          <w:rtl w:val="0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Die Viessmann Deutschland GmbH ist zur Planung und Lieferung der bei ihrer Fertigstellung Anfang 2022 drittgr</w:t>
      </w:r>
      <w:r>
        <w:rPr>
          <w:b w:val="1"/>
          <w:bCs w:val="1"/>
          <w:sz w:val="22"/>
          <w:szCs w:val="22"/>
          <w:rtl w:val="0"/>
          <w:lang w:val="de-DE"/>
        </w:rPr>
        <w:t>öß</w:t>
      </w:r>
      <w:r>
        <w:rPr>
          <w:b w:val="1"/>
          <w:bCs w:val="1"/>
          <w:sz w:val="22"/>
          <w:szCs w:val="22"/>
          <w:rtl w:val="0"/>
          <w:lang w:val="de-DE"/>
        </w:rPr>
        <w:t xml:space="preserve">ten Solarthermieanlage Deutschlands beauftragt worden. </w:t>
      </w:r>
    </w:p>
    <w:p>
      <w:pPr>
        <w:pStyle w:val="Normal.0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b w:val="1"/>
          <w:bCs w:val="1"/>
          <w:sz w:val="22"/>
          <w:szCs w:val="22"/>
          <w:rtl w:val="0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Das Angebot basiert auf dem R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>hrenkollektor Vitosol 200-T, Typ SPX, den Viessmann im vergangenen Jahr speziell 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r gro</w:t>
      </w:r>
      <w:r>
        <w:rPr>
          <w:b w:val="1"/>
          <w:bCs w:val="1"/>
          <w:sz w:val="22"/>
          <w:szCs w:val="22"/>
          <w:rtl w:val="0"/>
          <w:lang w:val="de-DE"/>
        </w:rPr>
        <w:t>ß</w:t>
      </w:r>
      <w:r>
        <w:rPr>
          <w:b w:val="1"/>
          <w:bCs w:val="1"/>
          <w:sz w:val="22"/>
          <w:szCs w:val="22"/>
          <w:rtl w:val="0"/>
          <w:lang w:val="de-DE"/>
        </w:rPr>
        <w:t>e Solarthermieanlagen, wie zum Beispiel 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r die Fernw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rme, neu eingef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 xml:space="preserve">hrt hat. </w:t>
      </w:r>
    </w:p>
    <w:p>
      <w:pPr>
        <w:pStyle w:val="Normal.0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b w:val="1"/>
          <w:bCs w:val="1"/>
          <w:sz w:val="22"/>
          <w:szCs w:val="22"/>
          <w:rtl w:val="0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Das Produkt hat die Stadtwerke Lemgo GmbH sowohl technisch als auch wirtschaftlich 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berzeugt.</w:t>
      </w:r>
    </w:p>
    <w:p>
      <w:pPr>
        <w:pStyle w:val="Normal.0"/>
        <w:spacing w:line="360" w:lineRule="auto"/>
        <w:rPr>
          <w:b w:val="1"/>
          <w:bCs w:val="1"/>
          <w:sz w:val="22"/>
          <w:szCs w:val="22"/>
        </w:rPr>
      </w:pPr>
    </w:p>
    <w:p>
      <w:pPr>
        <w:pStyle w:val="Normal.0"/>
        <w:spacing w:before="0" w:line="360" w:lineRule="auto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Allendorf (Eder), 1</w:t>
      </w:r>
      <w:r>
        <w:rPr>
          <w:b w:val="1"/>
          <w:bCs w:val="1"/>
          <w:sz w:val="22"/>
          <w:szCs w:val="22"/>
          <w:rtl w:val="0"/>
          <w:lang w:val="de-DE"/>
        </w:rPr>
        <w:t>2</w:t>
      </w:r>
      <w:r>
        <w:rPr>
          <w:b w:val="1"/>
          <w:bCs w:val="1"/>
          <w:sz w:val="22"/>
          <w:szCs w:val="22"/>
          <w:rtl w:val="0"/>
          <w:lang w:val="de-DE"/>
        </w:rPr>
        <w:t xml:space="preserve">.05.2021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>Im nordrhein-westf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lischen Lemgo haben die Vorbereitungen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den Bau der bislang drittgr</w:t>
      </w:r>
      <w:r>
        <w:rPr>
          <w:sz w:val="22"/>
          <w:szCs w:val="22"/>
          <w:rtl w:val="0"/>
          <w:lang w:val="de-DE"/>
        </w:rPr>
        <w:t>öß</w:t>
      </w:r>
      <w:r>
        <w:rPr>
          <w:sz w:val="22"/>
          <w:szCs w:val="22"/>
          <w:rtl w:val="0"/>
          <w:lang w:val="de-DE"/>
        </w:rPr>
        <w:t>ten Solarthermieanlage Deutschlands begonnen. Das System wird j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hrlich mehr als 3,3 Mio. Kilowattstunden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rme aus Sonnenenergie produzieren, was dem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rmebedarf von 150 Haushalten entspricht. Es wird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ein Kollektorfeld mit einer Gesamtfl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von 9.181 m</w:t>
      </w:r>
      <w:r>
        <w:rPr>
          <w:sz w:val="22"/>
          <w:szCs w:val="22"/>
          <w:vertAlign w:val="superscript"/>
          <w:rtl w:val="0"/>
          <w:lang w:val="de-DE"/>
        </w:rPr>
        <w:t>2</w:t>
      </w:r>
      <w:r>
        <w:rPr>
          <w:sz w:val="22"/>
          <w:szCs w:val="22"/>
          <w:rtl w:val="0"/>
          <w:lang w:val="de-DE"/>
        </w:rPr>
        <w:t xml:space="preserve"> verf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gen. Der Auftrag umfasst die Planung und den Bau der schl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sselfertigen Solarthermieanlage einschlie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lich des zugeh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rigen Technikgeb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udes. Die Stadtwerke Lemgo sind damit Vorreiter eines weiteren Umbaus der Fernw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rmeerzeugung in Deutschland hin zu mehr erneuerbaren Energien. </w:t>
      </w:r>
    </w:p>
    <w:p>
      <w:pPr>
        <w:pStyle w:val="Normal.0"/>
        <w:spacing w:before="0" w:line="360" w:lineRule="auto"/>
        <w:rPr>
          <w:sz w:val="22"/>
          <w:szCs w:val="22"/>
        </w:rPr>
      </w:pPr>
    </w:p>
    <w:p>
      <w:pPr>
        <w:pStyle w:val="Normal.0"/>
        <w:spacing w:before="0"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Bau der Solarthermieanlage beginnt, sobald die Genehmigungen erteilt sind. Die Anlage wird Anfang 2022 vollst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 betriebsbereit sein und ab dann zu einer signifikanten Senkung der CO</w:t>
      </w:r>
      <w:r>
        <w:rPr>
          <w:sz w:val="22"/>
          <w:szCs w:val="22"/>
          <w:vertAlign w:val="subscript"/>
          <w:rtl w:val="0"/>
          <w:lang w:val="de-DE"/>
        </w:rPr>
        <w:t>2</w:t>
      </w:r>
      <w:r>
        <w:rPr>
          <w:sz w:val="22"/>
          <w:szCs w:val="22"/>
          <w:rtl w:val="0"/>
          <w:lang w:val="de-DE"/>
        </w:rPr>
        <w:t>-Emissionen in Lemgo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hren. Die Anlage wird die dritte Solarthermie-Gro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anlage sein, die von Viessmann in Deutschland geplant und gebaut wurde. 2018 wurde eine gro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 Solarthermieanlage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das Bioenergiedorf in Mengsberg installiert und in 2019 eine weitere in Moosach bei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nchen in Betrieb genommen. Die Anlage in Lemgo ist im Vergleich zu der in Mensberg mehr als dreimal so gro</w:t>
      </w:r>
      <w:r>
        <w:rPr>
          <w:sz w:val="22"/>
          <w:szCs w:val="22"/>
          <w:rtl w:val="0"/>
          <w:lang w:val="de-DE"/>
        </w:rPr>
        <w:t xml:space="preserve">ß </w:t>
      </w:r>
      <w:r>
        <w:rPr>
          <w:sz w:val="22"/>
          <w:szCs w:val="22"/>
          <w:rtl w:val="0"/>
          <w:lang w:val="de-DE"/>
        </w:rPr>
        <w:t>und zeigt, dass die gro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chige Nutzung der Solarthermie als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rmequelle in Deutschland stark an Bedeutung gewinnt und die Anlagengr</w:t>
      </w:r>
      <w:r>
        <w:rPr>
          <w:sz w:val="22"/>
          <w:szCs w:val="22"/>
          <w:rtl w:val="0"/>
          <w:lang w:val="de-DE"/>
        </w:rPr>
        <w:t>öß</w:t>
      </w:r>
      <w:r>
        <w:rPr>
          <w:sz w:val="22"/>
          <w:szCs w:val="22"/>
          <w:rtl w:val="0"/>
          <w:lang w:val="de-DE"/>
        </w:rPr>
        <w:t>en wachsen.</w:t>
      </w:r>
    </w:p>
    <w:p>
      <w:pPr>
        <w:pStyle w:val="Normal.0"/>
        <w:spacing w:before="0" w:line="360" w:lineRule="auto"/>
        <w:rPr>
          <w:sz w:val="22"/>
          <w:szCs w:val="22"/>
        </w:rPr>
      </w:pPr>
    </w:p>
    <w:p>
      <w:pPr>
        <w:pStyle w:val="Normal.0"/>
        <w:spacing w:before="0" w:line="360" w:lineRule="auto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Wir sind stolz, dass wir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dieses Leuchtturmprojekt in der Region und dar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hinaus als Partner der Stadtwerke Lemgo ausgew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hlt wurden und mit unserem integrierten Viessmann L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sungsangebot sowohl technisch als auch wirtschaftlich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berzeugen konnten. Das Potenzial der Solarthermie als Teil der Fernw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rmeversorgung in Deutschland ist sehr gro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. Die Solarenergie ist absolut sauber, die Technologie 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erst zuverl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ssig, und der Preis ist konkurrenzf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hig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>, so Frank Vo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loh, Gesch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ftsf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hrer der Viessmann Deutschland GmbH.</w:t>
      </w:r>
    </w:p>
    <w:p>
      <w:pPr>
        <w:pStyle w:val="Normal.0"/>
        <w:spacing w:before="0" w:line="360" w:lineRule="auto"/>
        <w:rPr>
          <w:b w:val="1"/>
          <w:bCs w:val="1"/>
          <w:sz w:val="22"/>
          <w:szCs w:val="22"/>
        </w:rPr>
      </w:pPr>
    </w:p>
    <w:p>
      <w:pPr>
        <w:pStyle w:val="Normal.0"/>
        <w:spacing w:before="0"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Solarthermieanlage ist Teil des iKWK-Projekts der Stadtwerke Lemgo. Hinter dem K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rzel verbirgt sich eine innovativ abgestimmte Kombination von erneuerbaren Energien mit einem effizienten Kraft-W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rme-Kopplungssystem. Dabei wird die Solarthermieanlage um eine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rmepumpe erg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nzt, die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rme aus dem Fluss Bega zur Fernw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rmeerzeugung nutzen wird. Beide Anlagen werden zusammen mehr als 7.000 Megawattstunden Fernw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rme aus erneuerbaren Energien produzieren und damit j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hrlich ca.1.800 Tonnen an CO</w:t>
      </w:r>
      <w:r>
        <w:rPr>
          <w:sz w:val="22"/>
          <w:szCs w:val="22"/>
          <w:vertAlign w:val="subscript"/>
          <w:rtl w:val="0"/>
          <w:lang w:val="de-DE"/>
        </w:rPr>
        <w:t>2</w:t>
      </w:r>
      <w:r>
        <w:rPr>
          <w:sz w:val="22"/>
          <w:szCs w:val="22"/>
          <w:rtl w:val="0"/>
          <w:lang w:val="de-DE"/>
        </w:rPr>
        <w:t xml:space="preserve">-Emissionen einsparen. </w:t>
      </w:r>
    </w:p>
    <w:p>
      <w:pPr>
        <w:pStyle w:val="Normal.0"/>
        <w:spacing w:before="0" w:line="360" w:lineRule="auto"/>
        <w:rPr>
          <w:sz w:val="22"/>
          <w:szCs w:val="22"/>
        </w:rPr>
      </w:pPr>
    </w:p>
    <w:p>
      <w:pPr>
        <w:pStyle w:val="Normal.0"/>
        <w:spacing w:before="0"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Wir danken allen Beteiligten, dass wir jetzt den Bau dieses wichtigen innovativen Fernw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rmeprojektes starten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 und Anfang 2022 alle neuen, klimaschonenden Erzeugungsanlagen gemeinsam in Betrieb gehen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nnen. Wir freuen uns, mit Viessmann einen technologisch und wirtschaftlich starken Partner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Realisierung der Solarthermieanlage gefunden zu haben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>, sagt Arnd Oberscheven, Gesch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ftsf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hrer der Stadtwerke Lemgo.</w:t>
      </w:r>
    </w:p>
    <w:p>
      <w:pPr>
        <w:pStyle w:val="Normal.0"/>
        <w:spacing w:before="0" w:line="360" w:lineRule="auto"/>
        <w:rPr>
          <w:sz w:val="22"/>
          <w:szCs w:val="22"/>
        </w:rPr>
      </w:pPr>
    </w:p>
    <w:p>
      <w:pPr>
        <w:pStyle w:val="Normal.0"/>
        <w:spacing w:before="0" w:line="36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Bitte kontaktieren Sie 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r weitere Informationen:</w:t>
      </w:r>
    </w:p>
    <w:p>
      <w:pPr>
        <w:pStyle w:val="Normal.0"/>
        <w:numPr>
          <w:ilvl w:val="0"/>
          <w:numId w:val="4"/>
        </w:numPr>
        <w:bidi w:val="0"/>
        <w:spacing w:before="0" w:line="360" w:lineRule="auto"/>
        <w:ind w:right="0"/>
        <w:jc w:val="left"/>
        <w:rPr>
          <w:sz w:val="22"/>
          <w:szCs w:val="22"/>
          <w:rtl w:val="0"/>
          <w:lang w:val="de-DE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Marc Wallraff, Channel Manager Direct Industry der Viessmann Deutschland GmbH</w:t>
      </w:r>
      <w:r>
        <w:rPr>
          <w:sz w:val="22"/>
          <w:szCs w:val="22"/>
          <w:rtl w:val="0"/>
          <w:lang w:val="de-DE"/>
        </w:rPr>
        <w:t>, wrfm@viessmann.com</w:t>
      </w:r>
    </w:p>
    <w:p>
      <w:pPr>
        <w:pStyle w:val="Normal.0"/>
        <w:numPr>
          <w:ilvl w:val="0"/>
          <w:numId w:val="4"/>
        </w:numPr>
        <w:bidi w:val="0"/>
        <w:spacing w:before="0" w:line="360" w:lineRule="auto"/>
        <w:ind w:right="0"/>
        <w:jc w:val="left"/>
        <w:rPr>
          <w:sz w:val="22"/>
          <w:szCs w:val="22"/>
          <w:rtl w:val="0"/>
          <w:lang w:val="de-DE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Christian Stadler, Leiter f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Gro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projekte Solarthermie der Viessmann Deutschland GmbH, stdc@viessmann.com</w:t>
      </w:r>
    </w:p>
    <w:p>
      <w:pPr>
        <w:pStyle w:val="Normal.0"/>
        <w:numPr>
          <w:ilvl w:val="0"/>
          <w:numId w:val="4"/>
        </w:numPr>
        <w:bidi w:val="0"/>
        <w:spacing w:before="0"/>
        <w:ind w:right="0"/>
        <w:jc w:val="left"/>
        <w:rPr>
          <w:sz w:val="22"/>
          <w:szCs w:val="22"/>
          <w:rtl w:val="0"/>
          <w:lang w:val="de-DE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Peter Eijbergen, Leiter f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Gro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projekte Solarthermie der Viessmann Deutschland GmbH, ebgp@viessmann.com</w:t>
      </w:r>
    </w:p>
    <w:p>
      <w:pPr>
        <w:pStyle w:val="Normal.0"/>
        <w:spacing w:before="0"/>
        <w:ind w:left="360" w:firstLine="0"/>
        <w:rPr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before="0" w:line="360" w:lineRule="auto"/>
        <w:ind w:right="0"/>
        <w:jc w:val="left"/>
        <w:rPr>
          <w:sz w:val="22"/>
          <w:szCs w:val="22"/>
          <w:rtl w:val="0"/>
          <w:lang w:val="de-DE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Website: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"http://viessmann.com/"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de-DE"/>
        </w:rPr>
        <w:t>http://viessmann.com/</w:t>
      </w:r>
      <w:r>
        <w:rPr>
          <w:sz w:val="22"/>
          <w:szCs w:val="22"/>
        </w:rPr>
        <w:fldChar w:fldCharType="end" w:fldLock="0"/>
      </w:r>
      <w:r>
        <w:rPr>
          <w:rStyle w:val="Ohne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4"/>
        </w:numPr>
        <w:bidi w:val="0"/>
        <w:spacing w:before="0" w:after="200" w:line="360" w:lineRule="auto"/>
        <w:ind w:right="0"/>
        <w:jc w:val="left"/>
        <w:rPr>
          <w:sz w:val="22"/>
          <w:szCs w:val="22"/>
          <w:rtl w:val="0"/>
          <w:lang w:val="de-DE"/>
        </w:rPr>
      </w:pPr>
      <w:r>
        <w:rPr>
          <w:rStyle w:val="Ohne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Weitere Informationen: </w:t>
      </w:r>
      <w:r>
        <w:rPr>
          <w:rStyle w:val="Hyperlink.0"/>
          <w:sz w:val="22"/>
          <w:szCs w:val="22"/>
          <w:rtl w:val="0"/>
          <w:lang w:val="de-DE"/>
        </w:rPr>
        <w:t>https://www.stadtwerke-lemgo.de/privatkundenbereich/ueber-uns/presse-und-medien/pressemeldungen/detailseite/news/stadtwerke-lemgo-investieren-rekordsumme-von-20-mio-euro/</w:t>
      </w:r>
    </w:p>
    <w:p>
      <w:pPr>
        <w:pStyle w:val="Normal.0"/>
        <w:spacing w:before="0"/>
        <w:rPr>
          <w:rStyle w:val="Ohne"/>
          <w:b w:val="1"/>
          <w:bCs w:val="1"/>
        </w:rPr>
      </w:pPr>
    </w:p>
    <w:p>
      <w:pPr>
        <w:pStyle w:val="Normal.0"/>
        <w:spacing w:before="0"/>
        <w:rPr>
          <w:rStyle w:val="Ohne"/>
          <w:b w:val="1"/>
          <w:bCs w:val="1"/>
        </w:rPr>
      </w:pPr>
    </w:p>
    <w:p>
      <w:pPr>
        <w:pStyle w:val="Normal.0"/>
        <w:spacing w:before="0" w:line="276" w:lineRule="auto"/>
        <w:rPr>
          <w:rStyle w:val="Ohne"/>
          <w:b w:val="1"/>
          <w:bCs w:val="1"/>
          <w:sz w:val="22"/>
          <w:szCs w:val="22"/>
        </w:rPr>
      </w:pPr>
    </w:p>
    <w:p>
      <w:pPr>
        <w:pStyle w:val="Normal.0"/>
        <w:spacing w:before="0" w:line="276" w:lineRule="auto"/>
        <w:rPr>
          <w:rStyle w:val="Ohne"/>
          <w:b w:val="1"/>
          <w:bCs w:val="1"/>
          <w:sz w:val="22"/>
          <w:szCs w:val="22"/>
        </w:rPr>
      </w:pPr>
    </w:p>
    <w:p>
      <w:pPr>
        <w:pStyle w:val="Normal.0"/>
        <w:spacing w:before="0" w:line="276" w:lineRule="auto"/>
        <w:rPr>
          <w:rStyle w:val="Ohne"/>
          <w:b w:val="1"/>
          <w:bCs w:val="1"/>
          <w:sz w:val="22"/>
          <w:szCs w:val="22"/>
        </w:rPr>
      </w:pPr>
      <w:r>
        <w:rPr>
          <w:rStyle w:val="Ohne"/>
          <w:b w:val="1"/>
          <w:bCs w:val="1"/>
          <w:sz w:val="22"/>
          <w:szCs w:val="22"/>
          <w:rtl w:val="0"/>
          <w:lang w:val="de-DE"/>
        </w:rPr>
        <w:t>Ü</w:t>
      </w:r>
      <w:r>
        <w:rPr>
          <w:rStyle w:val="Ohne"/>
          <w:b w:val="1"/>
          <w:bCs w:val="1"/>
          <w:sz w:val="22"/>
          <w:szCs w:val="22"/>
          <w:rtl w:val="0"/>
          <w:lang w:val="de-DE"/>
        </w:rPr>
        <w:t>ber Viessmann</w:t>
      </w:r>
    </w:p>
    <w:p>
      <w:pPr>
        <w:pStyle w:val="Normal.0"/>
        <w:spacing w:before="0" w:line="276" w:lineRule="auto"/>
        <w:rPr>
          <w:rStyle w:val="Ohne"/>
          <w:sz w:val="22"/>
          <w:szCs w:val="22"/>
        </w:rPr>
      </w:pPr>
      <w:r>
        <w:rPr>
          <w:rStyle w:val="Ohne"/>
          <w:sz w:val="22"/>
          <w:szCs w:val="22"/>
          <w:rtl w:val="0"/>
          <w:lang w:val="de-DE"/>
        </w:rPr>
        <w:t>Viessmann ist der 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hrende Anbieter von Klimal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sungen 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 alle Lebensr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 xml:space="preserve">ume. Das </w:t>
      </w:r>
      <w:r>
        <w:rPr>
          <w:rStyle w:val="Ohne"/>
          <w:sz w:val="22"/>
          <w:szCs w:val="22"/>
          <w:rtl w:val="0"/>
          <w:lang w:val="de-DE"/>
        </w:rPr>
        <w:t>‘</w:t>
      </w:r>
      <w:r>
        <w:rPr>
          <w:rStyle w:val="Ohne"/>
          <w:sz w:val="22"/>
          <w:szCs w:val="22"/>
          <w:rtl w:val="0"/>
          <w:lang w:val="de-DE"/>
        </w:rPr>
        <w:t>Integrierte Viessmann L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sungsangebot</w:t>
      </w:r>
      <w:r>
        <w:rPr>
          <w:rStyle w:val="Ohne"/>
          <w:sz w:val="22"/>
          <w:szCs w:val="22"/>
          <w:rtl w:val="0"/>
          <w:lang w:val="de-DE"/>
        </w:rPr>
        <w:t xml:space="preserve">’ </w:t>
      </w:r>
      <w:r>
        <w:rPr>
          <w:rStyle w:val="Ohne"/>
          <w:sz w:val="22"/>
          <w:szCs w:val="22"/>
          <w:rtl w:val="0"/>
          <w:lang w:val="de-DE"/>
        </w:rPr>
        <w:t>erm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 xml:space="preserve">glicht es, Produkte und Systeme 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ber digitale Plattformen und Services 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 Klima- (W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rme, K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lte &amp; Luftqualit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t) und K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hll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sungen nahtlos miteinander zu verbinden. Alle L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sungen basieren auf erneuerbaren Energien und maximaler Effizienz. Alle Aktivit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ten des 1917 gegr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 xml:space="preserve">ndeten Familienunternehmen leiten sich aus dem Unternehmensleitbild </w:t>
      </w:r>
      <w:r>
        <w:rPr>
          <w:rStyle w:val="Ohne"/>
          <w:sz w:val="22"/>
          <w:szCs w:val="22"/>
          <w:rtl w:val="0"/>
          <w:lang w:val="de-DE"/>
        </w:rPr>
        <w:t>“</w:t>
      </w:r>
      <w:r>
        <w:rPr>
          <w:rStyle w:val="Ohne"/>
          <w:sz w:val="22"/>
          <w:szCs w:val="22"/>
          <w:rtl w:val="0"/>
          <w:lang w:val="de-DE"/>
        </w:rPr>
        <w:t>We create living spaces for generations to come</w:t>
      </w:r>
      <w:r>
        <w:rPr>
          <w:rStyle w:val="Ohne"/>
          <w:sz w:val="22"/>
          <w:szCs w:val="22"/>
          <w:rtl w:val="0"/>
          <w:lang w:val="de-DE"/>
        </w:rPr>
        <w:t xml:space="preserve">” </w:t>
      </w:r>
      <w:r>
        <w:rPr>
          <w:rStyle w:val="Ohne"/>
          <w:sz w:val="22"/>
          <w:szCs w:val="22"/>
          <w:rtl w:val="0"/>
          <w:lang w:val="de-DE"/>
        </w:rPr>
        <w:t>ab. Lebensr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ume zuk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 xml:space="preserve">nftiger Generationen zu gestalten </w:t>
      </w:r>
      <w:r>
        <w:rPr>
          <w:rStyle w:val="Ohne"/>
          <w:sz w:val="22"/>
          <w:szCs w:val="22"/>
          <w:rtl w:val="0"/>
          <w:lang w:val="de-DE"/>
        </w:rPr>
        <w:t xml:space="preserve">– </w:t>
      </w:r>
      <w:r>
        <w:rPr>
          <w:rStyle w:val="Ohne"/>
          <w:sz w:val="22"/>
          <w:szCs w:val="22"/>
          <w:rtl w:val="0"/>
          <w:lang w:val="de-DE"/>
        </w:rPr>
        <w:t xml:space="preserve">das ist die Verantwortung der weltweit 12.750 Mitglieder starken Viessmann Familie. </w:t>
      </w:r>
    </w:p>
    <w:p>
      <w:pPr>
        <w:pStyle w:val="Normal.0"/>
        <w:spacing w:before="0"/>
        <w:rPr>
          <w:rStyle w:val="Ohne"/>
          <w:b w:val="1"/>
          <w:bCs w:val="1"/>
        </w:rPr>
      </w:pPr>
    </w:p>
    <w:p>
      <w:pPr>
        <w:pStyle w:val="Normal.0"/>
        <w:spacing w:before="0"/>
        <w:rPr>
          <w:rStyle w:val="Ohne"/>
          <w:b w:val="1"/>
          <w:bCs w:val="1"/>
        </w:rPr>
      </w:pPr>
    </w:p>
    <w:p>
      <w:pPr>
        <w:pStyle w:val="Normal.0"/>
        <w:spacing w:before="0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Pressekontakte:</w:t>
      </w:r>
    </w:p>
    <w:p>
      <w:pPr>
        <w:pStyle w:val="Normal.0"/>
        <w:spacing w:before="0"/>
        <w:rPr>
          <w:rStyle w:val="Ohne"/>
          <w:b w:val="1"/>
          <w:bCs w:val="1"/>
        </w:rPr>
      </w:pPr>
    </w:p>
    <w:p>
      <w:pPr>
        <w:pStyle w:val="Normal.0"/>
        <w:spacing w:before="0"/>
      </w:pPr>
      <w:r>
        <w:rPr>
          <w:rStyle w:val="Ohne"/>
          <w:rtl w:val="0"/>
          <w:lang w:val="de-DE"/>
        </w:rPr>
        <w:t>Byung-Hun Park</w:t>
      </w:r>
    </w:p>
    <w:p>
      <w:pPr>
        <w:pStyle w:val="Normal.0"/>
        <w:spacing w:before="0"/>
      </w:pPr>
      <w:r>
        <w:rPr>
          <w:rStyle w:val="Ohne"/>
          <w:rtl w:val="0"/>
          <w:lang w:val="de-DE"/>
        </w:rPr>
        <w:t>Vice President Corporate Communications</w:t>
      </w:r>
    </w:p>
    <w:p>
      <w:pPr>
        <w:pStyle w:val="Normal.0"/>
        <w:spacing w:before="0"/>
      </w:pPr>
      <w:r>
        <w:rPr>
          <w:rStyle w:val="Ohne"/>
          <w:rtl w:val="0"/>
          <w:lang w:val="de-DE"/>
        </w:rPr>
        <w:t>Tel.: +4915164911317</w:t>
      </w:r>
    </w:p>
    <w:p>
      <w:pPr>
        <w:pStyle w:val="Normal.0"/>
        <w:spacing w:before="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"mailto:huni@viessmann.com"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huni@viessmann.com</w:t>
      </w:r>
      <w:r>
        <w:rPr/>
        <w:fldChar w:fldCharType="end" w:fldLock="0"/>
      </w:r>
    </w:p>
    <w:p>
      <w:pPr>
        <w:pStyle w:val="Normal.0"/>
        <w:spacing w:before="0"/>
      </w:pPr>
    </w:p>
    <w:p>
      <w:pPr>
        <w:pStyle w:val="Normal.0"/>
        <w:spacing w:before="0"/>
      </w:pPr>
      <w:r>
        <w:rPr>
          <w:rStyle w:val="Ohne"/>
          <w:rtl w:val="0"/>
          <w:lang w:val="de-DE"/>
        </w:rPr>
        <w:t>J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>rg Schmidt</w:t>
      </w:r>
    </w:p>
    <w:p>
      <w:pPr>
        <w:pStyle w:val="Normal.0"/>
        <w:spacing w:before="0"/>
      </w:pPr>
      <w:r>
        <w:rPr>
          <w:rStyle w:val="Ohne"/>
          <w:rtl w:val="0"/>
          <w:lang w:val="de-DE"/>
        </w:rPr>
        <w:t>Deputy Head of Corporate Communications</w:t>
      </w:r>
    </w:p>
    <w:p>
      <w:pPr>
        <w:pStyle w:val="Normal.0"/>
        <w:spacing w:before="0"/>
      </w:pPr>
      <w:r>
        <w:rPr>
          <w:rStyle w:val="Ohne"/>
          <w:rtl w:val="0"/>
          <w:lang w:val="de-DE"/>
        </w:rPr>
        <w:t>Tel.: +4915115168389</w:t>
      </w:r>
    </w:p>
    <w:p>
      <w:pPr>
        <w:pStyle w:val="Normal.0"/>
        <w:spacing w:before="0"/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"mailto:smdj@viessmann.com"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smdj@viessmann.com</w:t>
      </w:r>
      <w:r>
        <w:rPr/>
        <w:fldChar w:fldCharType="end" w:fldLock="0"/>
      </w:r>
      <w:r>
        <w:rPr>
          <w:rStyle w:val="Ohne"/>
          <w:rtl w:val="0"/>
          <w:lang w:val="de-DE"/>
        </w:rPr>
        <w:t xml:space="preserve"> </w:t>
      </w:r>
    </w:p>
    <w:p>
      <w:pPr>
        <w:pStyle w:val="Normal.0"/>
        <w:spacing w:before="0"/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0"/>
      </w:pPr>
      <w:r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2948" w:right="794" w:bottom="1134" w:left="1418" w:header="1304" w:footer="73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hd w:val="clear" w:color="auto" w:fill="ffffff"/>
      <w:tabs>
        <w:tab w:val="center" w:pos="4536"/>
        <w:tab w:val="right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907631</wp:posOffset>
          </wp:positionH>
          <wp:positionV relativeFrom="page">
            <wp:posOffset>1132839</wp:posOffset>
          </wp:positionV>
          <wp:extent cx="889000" cy="342900"/>
          <wp:effectExtent l="0" t="0" r="0" b="0"/>
          <wp:wrapNone/>
          <wp:docPr id="1073741825" name="officeArt object" descr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 descr="image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907631</wp:posOffset>
          </wp:positionH>
          <wp:positionV relativeFrom="page">
            <wp:posOffset>1551639</wp:posOffset>
          </wp:positionV>
          <wp:extent cx="5944445" cy="12700"/>
          <wp:effectExtent l="0" t="0" r="0" b="0"/>
          <wp:wrapNone/>
          <wp:docPr id="1073741826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ng" descr="image4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445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5407630</wp:posOffset>
          </wp:positionH>
          <wp:positionV relativeFrom="page">
            <wp:posOffset>532132</wp:posOffset>
          </wp:positionV>
          <wp:extent cx="1619250" cy="523875"/>
          <wp:effectExtent l="0" t="0" r="0" b="0"/>
          <wp:wrapNone/>
          <wp:docPr id="107374182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image1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2"/>
  </w:abstractNum>
  <w:abstractNum w:abstractNumId="1">
    <w:multiLevelType w:val="hybridMultilevel"/>
    <w:styleLink w:val="Importierter Stil: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1"/>
  </w:abstractNum>
  <w:abstractNum w:abstractNumId="3">
    <w:multiLevelType w:val="hybridMultilevel"/>
    <w:styleLink w:val="Importierter Stil: 1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1"/>
      </w:numPr>
    </w:pPr>
  </w:style>
  <w:style w:type="numbering" w:styleId="Importierter Stil: 1">
    <w:name w:val="Importierter Stil: 1"/>
    <w:pPr>
      <w:numPr>
        <w:numId w:val="3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2D2D2"/>
      </a:accent1>
      <a:accent2>
        <a:srgbClr val="A8A8A8"/>
      </a:accent2>
      <a:accent3>
        <a:srgbClr val="787878"/>
      </a:accent3>
      <a:accent4>
        <a:srgbClr val="555555"/>
      </a:accent4>
      <a:accent5>
        <a:srgbClr val="F5231B"/>
      </a:accent5>
      <a:accent6>
        <a:srgbClr val="FF8B32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